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YY Group Holding Limited</w:t>
      </w:r>
    </w:p>
    <w:p>
      <w:pPr>
        <w:spacing w:after="0" w:line="2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#09-13/14/15/16/17</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Paya Lebar Square</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ind w:left="482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2026, YY Group Holding Limited, a British Virgin Islands Company (“YY Group” or the “Company”), by a resolution of the board resolution pursuant to Regulation 8.14 of the Company’s Amended and Restated Memorandum and Articles of Association (the “Board Resolution”), approves and authorizes the payment of one-time performance bonuses for professional services rendered during the fiscal year ended December 31, 2025, to the following directors of the Company as set forth in the schedule below (collectively, the “Bonuses”):</w:t>
      </w:r>
    </w:p>
    <w:p>
      <w:pPr>
        <w:spacing w:after="0" w:line="180"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Zhang Fan, in her capacity as Business Development Director of the Company, was awarded a one-time performance bonus in the amount of US$200,000.</w:t>
      </w:r>
    </w:p>
    <w:p>
      <w:pPr>
        <w:spacing w:after="0" w:line="161" w:lineRule="exact"/>
        <w:rPr>
          <w:rFonts w:ascii="Times New Roman" w:cs="Times New Roman" w:eastAsia="Times New Roman" w:hAnsi="Times New Roman"/>
          <w:sz w:val="18"/>
          <w:szCs w:val="18"/>
          <w:color w:val="auto"/>
        </w:rPr>
      </w:pPr>
    </w:p>
    <w:p>
      <w:pPr>
        <w:ind w:right="20" w:firstLine="332"/>
        <w:spacing w:after="0" w:line="500" w:lineRule="auto"/>
        <w:tabs>
          <w:tab w:leader="none" w:pos="6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 Xiaowei, in his capacity as Executive Director of the Company, was awarded a one-time performance bonus in the amount of US$300,000. The Bonuses were fully funded and paid by the Company on June 23, 2026, in the form of cash.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Board Resolution is attached hereto as Exhibit 99.1.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Board Resolution dated June 23,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YY Group Holding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6"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Fu Xiaowei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Fu Xiaowei</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Chairman and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6" w:lineRule="exact"/>
        <w:rPr>
          <w:sz w:val="20"/>
          <w:szCs w:val="20"/>
          <w:color w:val="auto"/>
        </w:rPr>
      </w:pPr>
    </w:p>
    <w:p>
      <w:pPr>
        <w:ind w:right="6260" w:firstLine="8"/>
        <w:spacing w:after="0" w:line="511" w:lineRule="auto"/>
        <w:tabs>
          <w:tab w:leader="none" w:pos="29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Holdings Limited (NASDAQ: YYGH) (the Company) Written resolutions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 are all of the directors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confirm and note the matters, and resolve to pass the resolutions, set out below pursuant to article 8.14 of the Company’s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9560" w:hanging="652"/>
        <w:spacing w:after="0" w:line="50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Each director:</w:t>
      </w:r>
    </w:p>
    <w:p>
      <w:pPr>
        <w:spacing w:after="0" w:line="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that the director has declared any interest (whether direct or indirect) in relation to the matters referred to below which the director is required to disclose under the Articles or the BVI Business Companies Act (Revised Edition) 2020;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under the Articles, a director who is interested in a transaction into which the Company proposes to enter is entitled to vote in respect of that transaction if the director has declared that interest to each other director.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Emoluments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notes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Articles provide that the board of the Company is authorised to, by Resolution of Directors, fix the emoluments of directors with respect to services to be rendered in any capacity to the Company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May 29, 2023, YY Group Holding Limited entered into an Employment Agreement with Ms. Zhang Fan for the role of Business Development Director. The agreement provides for an annual base salary of US$180,000.</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May 29, 2023, YY Group Holding Limited entered into an Employment Agreement with Mr. Fu Xiaowei for the role of Chief Executive Officer and Executive Director. The agreement provides for an annual base salary of US$240,000.</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8.14 of Company’s Articles, it is now proposed that the Company shall approve and authorize the payment of the following one-time performance bonuses for services rendered during the year 2025 (collectively, the “2025 Performance Bonuses”):</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performance bonus to Ms. Zhang Fan, in her capacity as Business Development Director, in the amount of US$200,000, which may be paid either in cash or in the form of an equivalent value of the Company’s Class A ordinary shares; and</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performance bonus to Mr. Fu Xiaowei, in his capacity as Chief Executive Officer and Executive Director, in the amount of US$300,000, which may be paid either in cash or in the form of an equivalent value of the Company’s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benefit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confirms that, after considering the 2025 Performance Bonuses (as a whole), the director believes that it 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best interests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proper purpose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Company to approve and implement the 2025 Performance Bonuses, and the transactions contemplated by each of them.</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Authorisations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resolves that: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Performance Bonuses are approved and any Authorised Person (defined below) is authorised to prepare, approve, execute (under hand or seal), give and/or deliver on behalf of the Company any other document of any nature (each, an Additional Document), including, without limitation, any: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certificate, instruction, waiver or release;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letter or engagement letter;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appointment for any agent (including any process agent), power of attorney or document which contains an appointment of an agent or a power of attorney;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which supplements or amends (whether or not in any material way) any relevant document after that document has been executed,</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that Authorised Person considers, and in any form that Authorised Person considers, to be necessary or desirable in connection with the 2025 Performance Bonuses and any transaction contemplated by the 2025 Performance Bonuses;</w:t>
      </w:r>
    </w:p>
    <w:p>
      <w:pPr>
        <w:spacing w:after="0" w:line="158" w:lineRule="exact"/>
        <w:rPr>
          <w:sz w:val="20"/>
          <w:szCs w:val="20"/>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Delegation</w:t>
      </w:r>
      <w:r>
        <w:rPr>
          <w:rFonts w:ascii="Times New Roman" w:cs="Times New Roman" w:eastAsia="Times New Roman" w:hAnsi="Times New Roman"/>
          <w:sz w:val="18"/>
          <w:szCs w:val="18"/>
          <w:color w:val="auto"/>
        </w:rPr>
        <w:t>: any Authorised Person is authorised to delegate in writing (by power of attorney, email or otherwise) any of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on that Authorised Person by these resolutions to any person(s) and on any terms that Authorised Person thinks fit;</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any Authorised Person is authorised to do (or cause to be done) all other acts and things that Authorised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considers to be necessary or desirable in connection with the matters noted in these resolutions;</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w:t>
      </w:r>
      <w:r>
        <w:rPr>
          <w:rFonts w:ascii="Times New Roman" w:cs="Times New Roman" w:eastAsia="Times New Roman" w:hAnsi="Times New Roman"/>
          <w:sz w:val="18"/>
          <w:szCs w:val="18"/>
          <w:color w:val="auto"/>
        </w:rPr>
        <w:t>: any action taken by any attorney, director, officer, employee or agent of the Company in connection with the matters noted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these resolutions, prior to these resolutions being passed is approved, ratified and confirmed in all respects as an act of the Company; and</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these resolutions may be signed in counterparts and if the counterparts bear different dates these resolutions will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on the latest date on any counterpart; and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for the purposes of these resolutions: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Authorised Person </w:t>
      </w:r>
      <w:r>
        <w:rPr>
          <w:rFonts w:ascii="Times New Roman" w:cs="Times New Roman" w:eastAsia="Times New Roman" w:hAnsi="Times New Roman"/>
          <w:sz w:val="18"/>
          <w:szCs w:val="18"/>
          <w:color w:val="auto"/>
        </w:rPr>
        <w:t>means any director (including any alternate director);</w:t>
      </w:r>
    </w:p>
    <w:p>
      <w:pPr>
        <w:spacing w:after="0" w:line="225"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services provider </w:t>
      </w:r>
      <w:r>
        <w:rPr>
          <w:rFonts w:ascii="Times New Roman" w:cs="Times New Roman" w:eastAsia="Times New Roman" w:hAnsi="Times New Roman"/>
          <w:sz w:val="18"/>
          <w:szCs w:val="18"/>
          <w:color w:val="auto"/>
        </w:rPr>
        <w:t>means any person who maintains the Company’s register of shareholders, register of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of charges on behalf of it, including (without limitation) the Company’s Nasdaq transfer agent; and</w:t>
      </w:r>
    </w:p>
    <w:p>
      <w:pPr>
        <w:spacing w:after="0" w:line="15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Authorised Person may exercise, or refrain from exercising, any right, power or discretion conferred on that Authorised Person by these resolutions in that Authorised Person’s sole and absolute discretion.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432"/>
        </w:trPr>
        <w:tc>
          <w:tcPr>
            <w:tcW w:w="4520" w:type="dxa"/>
            <w:vAlign w:val="bottom"/>
            <w:tcBorders>
              <w:bottom w:val="single" w:sz="8" w:color="auto"/>
            </w:tcBorders>
            <w:gridSpan w:val="2"/>
          </w:tcPr>
          <w:p>
            <w:pPr>
              <w:spacing w:after="0"/>
              <w:rPr>
                <w:sz w:val="24"/>
                <w:szCs w:val="24"/>
                <w:color w:val="auto"/>
              </w:rPr>
            </w:pPr>
          </w:p>
        </w:tc>
        <w:tc>
          <w:tcPr>
            <w:tcW w:w="224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4"/>
                <w:szCs w:val="24"/>
                <w:color w:val="auto"/>
              </w:rPr>
            </w:pPr>
          </w:p>
        </w:tc>
      </w:tr>
      <w:tr>
        <w:trPr>
          <w:trHeight w:val="189"/>
        </w:trPr>
        <w:tc>
          <w:tcPr>
            <w:tcW w:w="4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Fu Xiaowei, </w:t>
            </w:r>
            <w:r>
              <w:rPr>
                <w:rFonts w:ascii="Times New Roman" w:cs="Times New Roman" w:eastAsia="Times New Roman" w:hAnsi="Times New Roman"/>
                <w:sz w:val="18"/>
                <w:szCs w:val="18"/>
                <w:i w:val="1"/>
                <w:iCs w:val="1"/>
                <w:color w:val="auto"/>
              </w:rPr>
              <w:t>Chairman of the Board of Directors</w:t>
            </w:r>
          </w:p>
        </w:tc>
        <w:tc>
          <w:tcPr>
            <w:tcW w:w="2240" w:type="dxa"/>
            <w:vAlign w:val="bottom"/>
          </w:tcPr>
          <w:p>
            <w:pPr>
              <w:spacing w:after="0"/>
              <w:rPr>
                <w:sz w:val="16"/>
                <w:szCs w:val="16"/>
                <w:color w:val="auto"/>
              </w:rPr>
            </w:pPr>
          </w:p>
        </w:tc>
        <w:tc>
          <w:tcPr>
            <w:tcW w:w="44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Zhang Fan</w:t>
            </w:r>
            <w:r>
              <w:rPr>
                <w:rFonts w:ascii="Times New Roman" w:cs="Times New Roman" w:eastAsia="Times New Roman" w:hAnsi="Times New Roman"/>
                <w:sz w:val="18"/>
                <w:szCs w:val="18"/>
                <w:i w:val="1"/>
                <w:iCs w:val="1"/>
                <w:color w:val="auto"/>
              </w:rPr>
              <w:t>, Business Development Director and Executive</w:t>
            </w:r>
          </w:p>
        </w:tc>
      </w:tr>
      <w:tr>
        <w:trPr>
          <w:trHeight w:val="23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tc>
        <w:tc>
          <w:tcPr>
            <w:tcW w:w="22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Borders>
              <w:bottom w:val="single" w:sz="8" w:color="auto"/>
            </w:tcBorders>
          </w:tcPr>
          <w:p>
            <w:pPr>
              <w:spacing w:after="0"/>
              <w:rPr>
                <w:sz w:val="24"/>
                <w:szCs w:val="24"/>
                <w:color w:val="auto"/>
              </w:rPr>
            </w:pPr>
          </w:p>
        </w:tc>
      </w:tr>
      <w:tr>
        <w:trPr>
          <w:trHeight w:val="426"/>
        </w:trPr>
        <w:tc>
          <w:tcPr>
            <w:tcW w:w="4520" w:type="dxa"/>
            <w:vAlign w:val="bottom"/>
            <w:tcBorders>
              <w:bottom w:val="single" w:sz="8" w:color="auto"/>
            </w:tcBorders>
            <w:gridSpan w:val="2"/>
          </w:tcPr>
          <w:p>
            <w:pPr>
              <w:spacing w:after="0"/>
              <w:rPr>
                <w:sz w:val="24"/>
                <w:szCs w:val="24"/>
                <w:color w:val="auto"/>
              </w:rPr>
            </w:pPr>
          </w:p>
        </w:tc>
        <w:tc>
          <w:tcPr>
            <w:tcW w:w="224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 Yong Xian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Director</w:t>
            </w:r>
          </w:p>
        </w:tc>
        <w:tc>
          <w:tcPr>
            <w:tcW w:w="22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Lim Kai Ching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Director</w:t>
            </w:r>
          </w:p>
        </w:tc>
      </w:tr>
      <w:tr>
        <w:trPr>
          <w:trHeight w:val="4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Borders>
              <w:bottom w:val="single" w:sz="8" w:color="auto"/>
            </w:tcBorders>
          </w:tcPr>
          <w:p>
            <w:pPr>
              <w:spacing w:after="0"/>
              <w:rPr>
                <w:sz w:val="24"/>
                <w:szCs w:val="24"/>
                <w:color w:val="auto"/>
              </w:rPr>
            </w:pPr>
          </w:p>
        </w:tc>
      </w:tr>
      <w:tr>
        <w:trPr>
          <w:trHeight w:val="642"/>
        </w:trPr>
        <w:tc>
          <w:tcPr>
            <w:tcW w:w="4520" w:type="dxa"/>
            <w:vAlign w:val="bottom"/>
            <w:tcBorders>
              <w:bottom w:val="single" w:sz="8" w:color="auto"/>
            </w:tcBorders>
            <w:gridSpan w:val="2"/>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Ngoh York Chao Nicholas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Director</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94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upperLetter"/>
      <w:start w:val="5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
    <w:nsid w:val="46E87CCD"/>
    <w:multiLevelType w:val="hybridMultilevel"/>
    <w:lvl w:ilvl="0">
      <w:lvlJc w:val="left"/>
      <w:lvlText w:val="%1."/>
      <w:numFmt w:val="decimal"/>
      <w:start w:val="3"/>
    </w:lvl>
    <w:lvl w:ilvl="1">
      <w:lvlJc w:val="left"/>
      <w:lvlText w:val="(%2)"/>
      <w:numFmt w:val="lowerLetter"/>
      <w:start w:val="1"/>
    </w:lvl>
  </w:abstractNum>
  <w:abstractNum w:abstractNumId="4">
    <w:nsid w:val="3D1B58B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2026-06-29T05:09:43Z</dcterms:created>
  <dcterms:modified xsi:type="dcterms:W3CDTF">2026-06-29T05:09:43Z</dcterms:modified>
</cp:coreProperties>
</file>